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5F32" w14:textId="77777777" w:rsidR="00F37951" w:rsidRPr="00FF1376" w:rsidRDefault="00F37951" w:rsidP="00F37951">
      <w:pPr>
        <w:spacing w:after="0" w:line="240" w:lineRule="auto"/>
        <w:ind w:firstLine="709"/>
        <w:contextualSpacing/>
        <w:rPr>
          <w:rFonts w:ascii="Times New Roman" w:eastAsia="Calibri" w:hAnsi="Times New Roman" w:cs="Times New Roman"/>
          <w:bCs/>
          <w:sz w:val="24"/>
          <w:szCs w:val="28"/>
        </w:rPr>
      </w:pPr>
      <w:bookmarkStart w:id="0" w:name="_Hlk213681085"/>
      <w:r w:rsidRPr="00FF1376">
        <w:rPr>
          <w:rFonts w:ascii="Times New Roman" w:eastAsia="Calibri" w:hAnsi="Times New Roman" w:cs="Times New Roman"/>
          <w:bCs/>
          <w:sz w:val="24"/>
          <w:szCs w:val="28"/>
        </w:rPr>
        <w:t>(пустая строка)</w:t>
      </w:r>
    </w:p>
    <w:p w14:paraId="4120733B" w14:textId="2D83BC2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УДК 621.396.99</w:t>
      </w:r>
    </w:p>
    <w:p w14:paraId="14F178A6" w14:textId="77777777" w:rsidR="00FF1376" w:rsidRPr="00FF1376" w:rsidRDefault="00FF1376" w:rsidP="00FF1376">
      <w:pPr>
        <w:spacing w:after="0" w:line="240" w:lineRule="auto"/>
        <w:contextualSpacing/>
        <w:jc w:val="both"/>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ГРНТИ 49.33.29</w:t>
      </w:r>
    </w:p>
    <w:p w14:paraId="0EAE4675"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5F0AD5FB" w14:textId="21946AD9"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 xml:space="preserve">СИСТЕМА ПОТОКОВОЙ ТРАНСЛЯЦИИ МЕДИАКОНТЕНТА </w:t>
      </w:r>
      <w:r w:rsidR="002B4DDC">
        <w:rPr>
          <w:rFonts w:ascii="Times New Roman" w:eastAsia="Calibri" w:hAnsi="Times New Roman" w:cs="Times New Roman"/>
          <w:b/>
          <w:bCs/>
          <w:sz w:val="28"/>
          <w:szCs w:val="28"/>
        </w:rPr>
        <w:br/>
      </w:r>
      <w:r w:rsidRPr="00FF1376">
        <w:rPr>
          <w:rFonts w:ascii="Times New Roman" w:eastAsia="Calibri" w:hAnsi="Times New Roman" w:cs="Times New Roman"/>
          <w:b/>
          <w:bCs/>
          <w:sz w:val="28"/>
          <w:szCs w:val="28"/>
        </w:rPr>
        <w:t>НА БАЗЕ СЕТЕЙ СОТОВОЙ СВЯЗИ</w:t>
      </w:r>
    </w:p>
    <w:p w14:paraId="3DBFDEB1" w14:textId="77777777" w:rsidR="00FF1376" w:rsidRPr="00FF1376" w:rsidRDefault="00FF1376" w:rsidP="00FF1376">
      <w:pPr>
        <w:spacing w:after="0" w:line="240" w:lineRule="auto"/>
        <w:ind w:firstLine="709"/>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04CF0458" w14:textId="77777777" w:rsidR="00FF1376" w:rsidRPr="00FF1376" w:rsidRDefault="00FF1376" w:rsidP="00FF1376">
      <w:pPr>
        <w:spacing w:after="0" w:line="240" w:lineRule="auto"/>
        <w:contextualSpacing/>
        <w:jc w:val="center"/>
        <w:rPr>
          <w:rFonts w:ascii="Times New Roman" w:eastAsia="Calibri" w:hAnsi="Times New Roman" w:cs="Times New Roman"/>
          <w:b/>
          <w:bCs/>
          <w:sz w:val="28"/>
          <w:szCs w:val="28"/>
        </w:rPr>
      </w:pPr>
      <w:r w:rsidRPr="00FF1376">
        <w:rPr>
          <w:rFonts w:ascii="Times New Roman" w:eastAsia="Calibri" w:hAnsi="Times New Roman" w:cs="Times New Roman"/>
          <w:b/>
          <w:bCs/>
          <w:sz w:val="28"/>
          <w:szCs w:val="28"/>
        </w:rPr>
        <w:t>О. В. Воробьев, А. С. Федоров</w:t>
      </w:r>
    </w:p>
    <w:p w14:paraId="14E667DB" w14:textId="77777777" w:rsidR="00FF1376" w:rsidRPr="00FF1376" w:rsidRDefault="00FF1376" w:rsidP="002B4DDC">
      <w:pPr>
        <w:spacing w:after="0" w:line="240" w:lineRule="auto"/>
        <w:contextualSpacing/>
        <w:jc w:val="center"/>
        <w:rPr>
          <w:rFonts w:ascii="Times New Roman" w:eastAsia="Calibri" w:hAnsi="Times New Roman" w:cs="Times New Roman"/>
          <w:sz w:val="20"/>
          <w:szCs w:val="20"/>
        </w:rPr>
      </w:pPr>
      <w:r w:rsidRPr="00FF1376">
        <w:rPr>
          <w:rFonts w:ascii="Times New Roman" w:eastAsia="Calibri" w:hAnsi="Times New Roman" w:cs="Times New Roman"/>
          <w:sz w:val="20"/>
          <w:szCs w:val="20"/>
        </w:rPr>
        <w:t>Санкт-Петербургский государственный университет телекоммуникаций им. проф. М. А. Бонч-Бруевича</w:t>
      </w:r>
    </w:p>
    <w:p w14:paraId="662B05C3"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1B88F570" w14:textId="77777777" w:rsidR="00FF1376" w:rsidRPr="00FF1376" w:rsidRDefault="00FF1376" w:rsidP="003502CF">
      <w:pPr>
        <w:spacing w:after="0" w:line="240" w:lineRule="auto"/>
        <w:ind w:firstLine="567"/>
        <w:contextualSpacing/>
        <w:jc w:val="both"/>
        <w:rPr>
          <w:rFonts w:ascii="Times New Roman" w:eastAsia="Calibri" w:hAnsi="Times New Roman" w:cs="Times New Roman"/>
          <w:i/>
          <w:iCs/>
          <w:sz w:val="24"/>
          <w:szCs w:val="24"/>
        </w:rPr>
      </w:pPr>
      <w:r w:rsidRPr="00FF1376">
        <w:rPr>
          <w:rFonts w:ascii="Times New Roman" w:eastAsia="Calibri" w:hAnsi="Times New Roman" w:cs="Times New Roman"/>
          <w:i/>
          <w:iCs/>
          <w:sz w:val="24"/>
          <w:szCs w:val="24"/>
        </w:rPr>
        <w:t xml:space="preserve">В современном мире абоненты все чаще и чаще для просмотра медиаконтента выбирают мобильные устройства. В связи с этим имеет смысл обеспечить передачу контента классического вещания через мобильные сети. Для решения подобной задачи существует технология </w:t>
      </w:r>
      <w:r w:rsidRPr="00FF1376">
        <w:rPr>
          <w:rFonts w:ascii="Times New Roman" w:eastAsia="Calibri" w:hAnsi="Times New Roman" w:cs="Times New Roman"/>
          <w:i/>
          <w:iCs/>
          <w:sz w:val="24"/>
          <w:szCs w:val="24"/>
          <w:lang w:val="en-US"/>
        </w:rPr>
        <w:t>eMBMS</w:t>
      </w:r>
      <w:r w:rsidRPr="00FF1376">
        <w:rPr>
          <w:rFonts w:ascii="Times New Roman" w:eastAsia="Calibri" w:hAnsi="Times New Roman" w:cs="Times New Roman"/>
          <w:i/>
          <w:iCs/>
          <w:sz w:val="24"/>
          <w:szCs w:val="24"/>
        </w:rPr>
        <w:t>.</w:t>
      </w:r>
    </w:p>
    <w:p w14:paraId="703C9D3B"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068CE94" w14:textId="77777777" w:rsidR="00FF1376" w:rsidRPr="00FF1376" w:rsidRDefault="00FF1376" w:rsidP="00A6010B">
      <w:pPr>
        <w:spacing w:after="0" w:line="240" w:lineRule="auto"/>
        <w:contextualSpacing/>
        <w:jc w:val="both"/>
        <w:rPr>
          <w:rFonts w:ascii="Times New Roman" w:eastAsia="Calibri" w:hAnsi="Times New Roman" w:cs="Times New Roman"/>
          <w:b/>
          <w:i/>
          <w:iCs/>
          <w:sz w:val="24"/>
          <w:szCs w:val="24"/>
        </w:rPr>
      </w:pPr>
      <w:r w:rsidRPr="00FF1376">
        <w:rPr>
          <w:rFonts w:ascii="Times New Roman" w:eastAsia="Calibri" w:hAnsi="Times New Roman" w:cs="Times New Roman"/>
          <w:b/>
          <w:i/>
          <w:iCs/>
          <w:sz w:val="24"/>
          <w:szCs w:val="24"/>
          <w:lang w:val="en-US"/>
        </w:rPr>
        <w:t>eMBMS</w:t>
      </w:r>
      <w:r w:rsidRPr="00FF1376">
        <w:rPr>
          <w:rFonts w:ascii="Times New Roman" w:eastAsia="Calibri" w:hAnsi="Times New Roman" w:cs="Times New Roman"/>
          <w:b/>
          <w:i/>
          <w:iCs/>
          <w:sz w:val="24"/>
          <w:szCs w:val="24"/>
        </w:rPr>
        <w:t xml:space="preserve">, сотовая связь, мобильные сети, </w:t>
      </w:r>
      <w:r w:rsidRPr="00FF1376">
        <w:rPr>
          <w:rFonts w:ascii="Times New Roman" w:eastAsia="Calibri" w:hAnsi="Times New Roman" w:cs="Times New Roman"/>
          <w:b/>
          <w:i/>
          <w:iCs/>
          <w:sz w:val="24"/>
          <w:szCs w:val="24"/>
          <w:lang w:val="en-US"/>
        </w:rPr>
        <w:t>LTE</w:t>
      </w:r>
      <w:r w:rsidRPr="00FF1376">
        <w:rPr>
          <w:rFonts w:ascii="Times New Roman" w:eastAsia="Calibri" w:hAnsi="Times New Roman" w:cs="Times New Roman"/>
          <w:b/>
          <w:i/>
          <w:iCs/>
          <w:sz w:val="24"/>
          <w:szCs w:val="24"/>
        </w:rPr>
        <w:t>, широковещание</w:t>
      </w:r>
    </w:p>
    <w:p w14:paraId="2FC9DE35"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6E5E53F1" w14:textId="77777777" w:rsidR="00FF1376" w:rsidRPr="00FF1376" w:rsidRDefault="00FF1376" w:rsidP="003502CF">
      <w:pPr>
        <w:spacing w:after="0" w:line="240" w:lineRule="auto"/>
        <w:ind w:firstLine="567"/>
        <w:contextualSpacing/>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все больше абонентов предпочитают для получения медиаконтента использовать мобильные устройства. По статистике Министерства цифрового развития, связи и массовых коммуникаций РФ объемы данных, переданных с использованием мобильных устройств, с каждым годом неуклонно растет [1], что представлено на рис. 1. </w:t>
      </w:r>
    </w:p>
    <w:p w14:paraId="5F505A15" w14:textId="77777777" w:rsidR="00A6010B" w:rsidRDefault="00FF1376" w:rsidP="003502CF">
      <w:pPr>
        <w:spacing w:after="0" w:line="240" w:lineRule="auto"/>
        <w:ind w:firstLine="567"/>
        <w:contextualSpacing/>
        <w:jc w:val="center"/>
        <w:rPr>
          <w:rFonts w:ascii="Times New Roman" w:eastAsia="Calibri" w:hAnsi="Times New Roman" w:cs="Times New Roman"/>
          <w:sz w:val="24"/>
          <w:szCs w:val="24"/>
        </w:rPr>
      </w:pPr>
      <w:r w:rsidRPr="00FF1376">
        <w:rPr>
          <w:rFonts w:ascii="Times New Roman" w:eastAsia="Calibri" w:hAnsi="Times New Roman" w:cs="Times New Roman"/>
          <w:noProof/>
          <w:sz w:val="28"/>
          <w:szCs w:val="28"/>
          <w:lang w:eastAsia="ru-RU"/>
        </w:rPr>
        <w:drawing>
          <wp:inline distT="0" distB="0" distL="0" distR="0" wp14:anchorId="1F2B882C" wp14:editId="6413B601">
            <wp:extent cx="3086100" cy="2186809"/>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2393" cy="2198354"/>
                    </a:xfrm>
                    <a:prstGeom prst="rect">
                      <a:avLst/>
                    </a:prstGeom>
                  </pic:spPr>
                </pic:pic>
              </a:graphicData>
            </a:graphic>
          </wp:inline>
        </w:drawing>
      </w:r>
    </w:p>
    <w:p w14:paraId="1A353211" w14:textId="6A411F08" w:rsidR="00FF1376" w:rsidRPr="00FF1376" w:rsidRDefault="00FF1376" w:rsidP="003502CF">
      <w:pPr>
        <w:spacing w:after="0" w:line="240" w:lineRule="auto"/>
        <w:ind w:firstLine="567"/>
        <w:contextualSpacing/>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Рис. 1. Статистика Минкомсвязи о количестве переданного трафика</w:t>
      </w:r>
    </w:p>
    <w:p w14:paraId="05CE72A6"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5C10EDD2"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Кроме того, не во всех точках нашей страны развернуты и традиционные системы вещания (ТВ и радио), и мобильные сети.</w:t>
      </w:r>
    </w:p>
    <w:p w14:paraId="10806EE1"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В настоящее время у различных производителей заявлено более 50 микросхем, поддерживающих </w:t>
      </w:r>
      <w:r w:rsidRPr="00FF1376">
        <w:rPr>
          <w:rFonts w:ascii="Times New Roman" w:eastAsia="Calibri" w:hAnsi="Times New Roman" w:cs="Times New Roman"/>
          <w:sz w:val="28"/>
          <w:szCs w:val="28"/>
          <w:lang w:val="en-US"/>
        </w:rPr>
        <w:t>eMBMS</w:t>
      </w:r>
      <w:r w:rsidRPr="00FF1376">
        <w:rPr>
          <w:rFonts w:ascii="Times New Roman" w:eastAsia="Calibri" w:hAnsi="Times New Roman" w:cs="Times New Roman"/>
          <w:sz w:val="28"/>
          <w:szCs w:val="28"/>
        </w:rPr>
        <w:t>, их перечень приведен в таблице 1.</w:t>
      </w:r>
    </w:p>
    <w:p w14:paraId="2A2A5C32" w14:textId="77777777" w:rsidR="00FF1376" w:rsidRPr="00FF1376" w:rsidRDefault="00FF1376"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361FB551" w14:textId="77777777" w:rsidR="00FF1376" w:rsidRPr="00FF1376" w:rsidRDefault="00FF1376" w:rsidP="003502CF">
      <w:pPr>
        <w:spacing w:after="0" w:line="240" w:lineRule="auto"/>
        <w:ind w:firstLine="567"/>
        <w:jc w:val="center"/>
        <w:rPr>
          <w:rFonts w:ascii="Times New Roman" w:eastAsia="Calibri" w:hAnsi="Times New Roman" w:cs="Times New Roman"/>
          <w:sz w:val="24"/>
          <w:szCs w:val="24"/>
        </w:rPr>
      </w:pPr>
      <w:r w:rsidRPr="00FF1376">
        <w:rPr>
          <w:rFonts w:ascii="Times New Roman" w:eastAsia="Calibri" w:hAnsi="Times New Roman" w:cs="Times New Roman"/>
          <w:sz w:val="24"/>
          <w:szCs w:val="24"/>
        </w:rPr>
        <w:t xml:space="preserve">ТАБЛИЦА 1. Перечень микросхем, поддерживающих технологию </w:t>
      </w:r>
      <w:r w:rsidRPr="00FF1376">
        <w:rPr>
          <w:rFonts w:ascii="Times New Roman" w:eastAsia="Calibri" w:hAnsi="Times New Roman" w:cs="Times New Roman"/>
          <w:sz w:val="24"/>
          <w:szCs w:val="24"/>
          <w:lang w:val="en-US"/>
        </w:rPr>
        <w:t>eMBMS</w:t>
      </w:r>
    </w:p>
    <w:tbl>
      <w:tblPr>
        <w:tblStyle w:val="3"/>
        <w:tblW w:w="8959" w:type="dxa"/>
        <w:tblInd w:w="108" w:type="dxa"/>
        <w:tblLook w:val="04A0" w:firstRow="1" w:lastRow="0" w:firstColumn="1" w:lastColumn="0" w:noHBand="0" w:noVBand="1"/>
      </w:tblPr>
      <w:tblGrid>
        <w:gridCol w:w="1778"/>
        <w:gridCol w:w="2045"/>
        <w:gridCol w:w="5136"/>
      </w:tblGrid>
      <w:tr w:rsidR="00FF1376" w:rsidRPr="00FF1376" w14:paraId="1D9DB610" w14:textId="77777777" w:rsidTr="002B4DDC">
        <w:trPr>
          <w:tblHeader/>
        </w:trPr>
        <w:tc>
          <w:tcPr>
            <w:tcW w:w="1778" w:type="dxa"/>
            <w:tcBorders>
              <w:bottom w:val="single" w:sz="12" w:space="0" w:color="auto"/>
            </w:tcBorders>
          </w:tcPr>
          <w:p w14:paraId="797BC561"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Производитель</w:t>
            </w:r>
          </w:p>
        </w:tc>
        <w:tc>
          <w:tcPr>
            <w:tcW w:w="2045" w:type="dxa"/>
            <w:tcBorders>
              <w:bottom w:val="single" w:sz="12" w:space="0" w:color="auto"/>
            </w:tcBorders>
          </w:tcPr>
          <w:p w14:paraId="1C501C17"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Тип</w:t>
            </w:r>
          </w:p>
        </w:tc>
        <w:tc>
          <w:tcPr>
            <w:tcW w:w="5136" w:type="dxa"/>
            <w:tcBorders>
              <w:bottom w:val="single" w:sz="12" w:space="0" w:color="auto"/>
            </w:tcBorders>
          </w:tcPr>
          <w:p w14:paraId="48526FF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Модель</w:t>
            </w:r>
          </w:p>
        </w:tc>
      </w:tr>
      <w:tr w:rsidR="00FF1376" w:rsidRPr="00FF1376" w14:paraId="2A053396" w14:textId="77777777" w:rsidTr="002B4DDC">
        <w:tc>
          <w:tcPr>
            <w:tcW w:w="1778" w:type="dxa"/>
            <w:tcBorders>
              <w:top w:val="single" w:sz="12" w:space="0" w:color="auto"/>
            </w:tcBorders>
            <w:vAlign w:val="center"/>
          </w:tcPr>
          <w:p w14:paraId="465E5629"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Altair Semiconductor</w:t>
            </w:r>
          </w:p>
        </w:tc>
        <w:tc>
          <w:tcPr>
            <w:tcW w:w="2045" w:type="dxa"/>
            <w:tcBorders>
              <w:top w:val="single" w:sz="12" w:space="0" w:color="auto"/>
            </w:tcBorders>
            <w:vAlign w:val="center"/>
          </w:tcPr>
          <w:p w14:paraId="2C1C2E4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136" w:type="dxa"/>
            <w:tcBorders>
              <w:top w:val="single" w:sz="12" w:space="0" w:color="auto"/>
            </w:tcBorders>
            <w:vAlign w:val="center"/>
          </w:tcPr>
          <w:p w14:paraId="502802E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Alt3800</w:t>
            </w:r>
          </w:p>
        </w:tc>
      </w:tr>
      <w:tr w:rsidR="00FF1376" w:rsidRPr="00A6010B" w14:paraId="7EF4D8CB" w14:textId="77777777" w:rsidTr="006E24A8">
        <w:tc>
          <w:tcPr>
            <w:tcW w:w="1778" w:type="dxa"/>
            <w:vAlign w:val="center"/>
          </w:tcPr>
          <w:p w14:paraId="2498D424"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GCT</w:t>
            </w:r>
          </w:p>
        </w:tc>
        <w:tc>
          <w:tcPr>
            <w:tcW w:w="2045" w:type="dxa"/>
            <w:vAlign w:val="center"/>
          </w:tcPr>
          <w:p w14:paraId="160F29F8"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w:t>
            </w:r>
          </w:p>
        </w:tc>
        <w:tc>
          <w:tcPr>
            <w:tcW w:w="5136" w:type="dxa"/>
            <w:vAlign w:val="center"/>
          </w:tcPr>
          <w:p w14:paraId="5EC9CE1B"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GDM7243S, GDM7243ST, GDM7243Q Quad, GDM7243QT, GDM7243A, GDM7243AU</w:t>
            </w:r>
          </w:p>
        </w:tc>
      </w:tr>
      <w:tr w:rsidR="00FF1376" w:rsidRPr="00FF1376" w14:paraId="160EF7A8" w14:textId="77777777" w:rsidTr="006E24A8">
        <w:tc>
          <w:tcPr>
            <w:tcW w:w="1778" w:type="dxa"/>
            <w:vAlign w:val="center"/>
          </w:tcPr>
          <w:p w14:paraId="122DCEAC"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lastRenderedPageBreak/>
              <w:t>Intel</w:t>
            </w:r>
          </w:p>
        </w:tc>
        <w:tc>
          <w:tcPr>
            <w:tcW w:w="2045" w:type="dxa"/>
            <w:vAlign w:val="center"/>
          </w:tcPr>
          <w:p w14:paraId="025E57C2"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136" w:type="dxa"/>
            <w:vAlign w:val="center"/>
          </w:tcPr>
          <w:p w14:paraId="78595496"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XMM 7160, XMM 7260/7262, XMM 7360</w:t>
            </w:r>
          </w:p>
        </w:tc>
      </w:tr>
      <w:tr w:rsidR="00FF1376" w:rsidRPr="00A6010B" w14:paraId="0FC0F596" w14:textId="77777777" w:rsidTr="006E24A8">
        <w:tc>
          <w:tcPr>
            <w:tcW w:w="1778" w:type="dxa"/>
            <w:vAlign w:val="center"/>
          </w:tcPr>
          <w:p w14:paraId="573FA77F"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MediaTek</w:t>
            </w:r>
          </w:p>
        </w:tc>
        <w:tc>
          <w:tcPr>
            <w:tcW w:w="2045" w:type="dxa"/>
            <w:vAlign w:val="center"/>
          </w:tcPr>
          <w:p w14:paraId="40098735"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136" w:type="dxa"/>
            <w:vAlign w:val="center"/>
          </w:tcPr>
          <w:p w14:paraId="4894CE73"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MT6739, Helio A22, Helio P22, Helio P60, Helio P70, Helio P90</w:t>
            </w:r>
          </w:p>
        </w:tc>
      </w:tr>
      <w:tr w:rsidR="00FF1376" w:rsidRPr="00A6010B" w14:paraId="1FF6E083" w14:textId="77777777" w:rsidTr="006E24A8">
        <w:tc>
          <w:tcPr>
            <w:tcW w:w="1778" w:type="dxa"/>
            <w:vAlign w:val="center"/>
          </w:tcPr>
          <w:p w14:paraId="789A2CD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Qualcomm</w:t>
            </w:r>
          </w:p>
        </w:tc>
        <w:tc>
          <w:tcPr>
            <w:tcW w:w="2045" w:type="dxa"/>
            <w:vAlign w:val="center"/>
          </w:tcPr>
          <w:p w14:paraId="4DB83563"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136" w:type="dxa"/>
            <w:vAlign w:val="center"/>
          </w:tcPr>
          <w:p w14:paraId="2EE4F0CE"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850, 845, 835, 821, 820, 810, 808, 805, 801, 800, 675, 660, 653, 652, 650, 636, 632, 630, 626, 625, 617, 616, 615, 610, 450, 439, 435, 430, 429, 427, 415, 412, 410, 400, 210, Snapdragon Wear 2100, Snapdragon 212 mobile platform</w:t>
            </w:r>
          </w:p>
        </w:tc>
      </w:tr>
      <w:tr w:rsidR="00FF1376" w:rsidRPr="00A6010B" w14:paraId="622A2BB7" w14:textId="77777777" w:rsidTr="006E24A8">
        <w:tc>
          <w:tcPr>
            <w:tcW w:w="1778" w:type="dxa"/>
            <w:vAlign w:val="center"/>
          </w:tcPr>
          <w:p w14:paraId="5D0FB49D"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Qualcomm</w:t>
            </w:r>
          </w:p>
        </w:tc>
        <w:tc>
          <w:tcPr>
            <w:tcW w:w="2045" w:type="dxa"/>
            <w:vAlign w:val="center"/>
          </w:tcPr>
          <w:p w14:paraId="3E90DFA0"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модем сотовой связи</w:t>
            </w:r>
          </w:p>
        </w:tc>
        <w:tc>
          <w:tcPr>
            <w:tcW w:w="5136" w:type="dxa"/>
            <w:vAlign w:val="center"/>
          </w:tcPr>
          <w:p w14:paraId="56DFC8E0" w14:textId="77777777" w:rsidR="00FF1376" w:rsidRPr="00FF1376" w:rsidRDefault="00FF1376" w:rsidP="003502CF">
            <w:pPr>
              <w:contextualSpacing/>
              <w:jc w:val="center"/>
              <w:rPr>
                <w:rFonts w:ascii="Times New Roman" w:eastAsia="Calibri" w:hAnsi="Times New Roman" w:cs="Times New Roman"/>
                <w:lang w:val="en-US"/>
              </w:rPr>
            </w:pPr>
            <w:r w:rsidRPr="00FF1376">
              <w:rPr>
                <w:rFonts w:ascii="Times New Roman" w:eastAsia="Calibri" w:hAnsi="Times New Roman" w:cs="Times New Roman"/>
                <w:lang w:val="en-US"/>
              </w:rPr>
              <w:t>Snapdragon X5, X7, X12, X16, X20, X24</w:t>
            </w:r>
          </w:p>
        </w:tc>
      </w:tr>
      <w:tr w:rsidR="00FF1376" w:rsidRPr="00FF1376" w14:paraId="543C3943" w14:textId="77777777" w:rsidTr="006E24A8">
        <w:tc>
          <w:tcPr>
            <w:tcW w:w="1778" w:type="dxa"/>
            <w:vAlign w:val="center"/>
          </w:tcPr>
          <w:p w14:paraId="06DBEC5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Sequans</w:t>
            </w:r>
          </w:p>
        </w:tc>
        <w:tc>
          <w:tcPr>
            <w:tcW w:w="2045" w:type="dxa"/>
            <w:vAlign w:val="center"/>
          </w:tcPr>
          <w:p w14:paraId="3E07804E"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мобильный процессор/ платформа</w:t>
            </w:r>
          </w:p>
        </w:tc>
        <w:tc>
          <w:tcPr>
            <w:tcW w:w="5136" w:type="dxa"/>
            <w:vAlign w:val="center"/>
          </w:tcPr>
          <w:p w14:paraId="40D205FB" w14:textId="77777777" w:rsidR="00FF1376" w:rsidRPr="00FF1376" w:rsidRDefault="00FF1376" w:rsidP="003502CF">
            <w:pPr>
              <w:contextualSpacing/>
              <w:jc w:val="center"/>
              <w:rPr>
                <w:rFonts w:ascii="Times New Roman" w:eastAsia="Calibri" w:hAnsi="Times New Roman" w:cs="Times New Roman"/>
              </w:rPr>
            </w:pPr>
            <w:r w:rsidRPr="00FF1376">
              <w:rPr>
                <w:rFonts w:ascii="Times New Roman" w:eastAsia="Calibri" w:hAnsi="Times New Roman" w:cs="Times New Roman"/>
              </w:rPr>
              <w:t>Cassiopeia, Mont Blanc</w:t>
            </w:r>
          </w:p>
        </w:tc>
      </w:tr>
    </w:tbl>
    <w:p w14:paraId="256D9955"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78A00B1F" w14:textId="77777777" w:rsidR="00FF1376" w:rsidRPr="00FF1376" w:rsidRDefault="00FF1376" w:rsidP="003502CF">
      <w:pPr>
        <w:spacing w:after="0" w:line="240" w:lineRule="auto"/>
        <w:ind w:firstLine="567"/>
        <w:jc w:val="both"/>
        <w:rPr>
          <w:rFonts w:ascii="Times New Roman" w:eastAsia="Calibri" w:hAnsi="Times New Roman" w:cs="Times New Roman"/>
          <w:sz w:val="28"/>
          <w:szCs w:val="28"/>
        </w:rPr>
      </w:pPr>
      <w:r w:rsidRPr="00FF1376">
        <w:rPr>
          <w:rFonts w:ascii="Times New Roman" w:eastAsia="Calibri" w:hAnsi="Times New Roman" w:cs="Times New Roman"/>
          <w:sz w:val="28"/>
          <w:szCs w:val="28"/>
        </w:rPr>
        <w:t xml:space="preserve">Таким образом, несмотря на то, что существуют некоторые трудности и проблемы при использовании рассмотренной технологии, можно сделать вывод, что при развитии сотовых сетей </w:t>
      </w:r>
      <w:r w:rsidRPr="00FF1376">
        <w:rPr>
          <w:rFonts w:ascii="Times New Roman" w:eastAsia="Calibri" w:hAnsi="Times New Roman" w:cs="Times New Roman"/>
          <w:sz w:val="28"/>
          <w:szCs w:val="28"/>
          <w:lang w:val="en-US"/>
        </w:rPr>
        <w:t>eMBMS</w:t>
      </w:r>
      <w:r w:rsidRPr="00FF1376">
        <w:rPr>
          <w:rFonts w:ascii="Times New Roman" w:eastAsia="Calibri" w:hAnsi="Times New Roman" w:cs="Times New Roman"/>
          <w:sz w:val="28"/>
          <w:szCs w:val="28"/>
        </w:rPr>
        <w:t xml:space="preserve"> может найти свое применение при дальнейшем развитии сотовых сетей.</w:t>
      </w:r>
    </w:p>
    <w:p w14:paraId="2ED79BC6" w14:textId="77777777" w:rsidR="0084541E" w:rsidRPr="00FF1376" w:rsidRDefault="0084541E" w:rsidP="003502CF">
      <w:pPr>
        <w:spacing w:after="0" w:line="240" w:lineRule="auto"/>
        <w:ind w:firstLine="567"/>
        <w:contextualSpacing/>
        <w:rPr>
          <w:rFonts w:ascii="Times New Roman" w:eastAsia="Calibri" w:hAnsi="Times New Roman" w:cs="Times New Roman"/>
          <w:bCs/>
          <w:sz w:val="24"/>
          <w:szCs w:val="28"/>
        </w:rPr>
      </w:pPr>
      <w:r w:rsidRPr="00FF1376">
        <w:rPr>
          <w:rFonts w:ascii="Times New Roman" w:eastAsia="Calibri" w:hAnsi="Times New Roman" w:cs="Times New Roman"/>
          <w:bCs/>
          <w:sz w:val="24"/>
          <w:szCs w:val="28"/>
        </w:rPr>
        <w:t>(пустая строка)</w:t>
      </w:r>
    </w:p>
    <w:p w14:paraId="207FC9FB" w14:textId="42CEB76B" w:rsidR="00FF1376" w:rsidRPr="00FF1376" w:rsidRDefault="00FF1376" w:rsidP="003502CF">
      <w:pPr>
        <w:spacing w:after="0" w:line="240" w:lineRule="auto"/>
        <w:ind w:firstLine="567"/>
        <w:jc w:val="both"/>
        <w:rPr>
          <w:rFonts w:ascii="Times New Roman" w:eastAsia="Calibri" w:hAnsi="Times New Roman" w:cs="Times New Roman"/>
          <w:b/>
          <w:bCs/>
          <w:sz w:val="24"/>
          <w:szCs w:val="24"/>
        </w:rPr>
      </w:pPr>
      <w:r w:rsidRPr="00FF1376">
        <w:rPr>
          <w:rFonts w:ascii="Times New Roman" w:eastAsia="Calibri" w:hAnsi="Times New Roman" w:cs="Times New Roman"/>
          <w:b/>
          <w:bCs/>
          <w:sz w:val="24"/>
          <w:szCs w:val="24"/>
        </w:rPr>
        <w:t>Список используемых источников</w:t>
      </w:r>
    </w:p>
    <w:p w14:paraId="61746DDC" w14:textId="581C667A" w:rsidR="00FF1376" w:rsidRPr="00FF1376" w:rsidRDefault="0084541E" w:rsidP="003502C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6010B">
        <w:rPr>
          <w:rFonts w:ascii="Times New Roman" w:eastAsia="Calibri" w:hAnsi="Times New Roman" w:cs="Times New Roman"/>
          <w:sz w:val="24"/>
          <w:szCs w:val="24"/>
        </w:rPr>
        <w:t> </w:t>
      </w:r>
      <w:r w:rsidR="00FF1376" w:rsidRPr="00FF1376">
        <w:rPr>
          <w:rFonts w:ascii="Times New Roman" w:eastAsia="Calibri" w:hAnsi="Times New Roman" w:cs="Times New Roman"/>
          <w:sz w:val="24"/>
          <w:szCs w:val="24"/>
        </w:rPr>
        <w:t xml:space="preserve">Статистика отрасли: Министерства цифрового развития, связи и массовых коммуникаций РФ. </w:t>
      </w:r>
      <w:r w:rsidR="00FF1376" w:rsidRPr="00FF1376">
        <w:rPr>
          <w:rFonts w:ascii="Times New Roman" w:eastAsia="Calibri" w:hAnsi="Times New Roman" w:cs="Times New Roman"/>
          <w:sz w:val="24"/>
          <w:szCs w:val="24"/>
          <w:lang w:val="en-US"/>
        </w:rPr>
        <w:t>URL</w:t>
      </w:r>
      <w:r w:rsidR="00FF1376" w:rsidRPr="00FF1376">
        <w:rPr>
          <w:rFonts w:ascii="Times New Roman" w:eastAsia="Calibri" w:hAnsi="Times New Roman" w:cs="Times New Roman"/>
          <w:sz w:val="24"/>
          <w:szCs w:val="24"/>
        </w:rPr>
        <w:t>:</w:t>
      </w:r>
      <w:r w:rsidR="00FF1376" w:rsidRPr="00FF1376">
        <w:rPr>
          <w:rFonts w:ascii="Calibri" w:eastAsia="Calibri" w:hAnsi="Calibri" w:cs="Times New Roman"/>
        </w:rPr>
        <w:t xml:space="preserve"> </w:t>
      </w:r>
      <w:r w:rsidR="00FF1376" w:rsidRPr="00FF1376">
        <w:rPr>
          <w:rFonts w:ascii="Times New Roman" w:eastAsia="Calibri" w:hAnsi="Times New Roman" w:cs="Times New Roman"/>
          <w:sz w:val="24"/>
          <w:szCs w:val="24"/>
          <w:lang w:val="en-US"/>
        </w:rPr>
        <w:t>https</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digital</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gov</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ru</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ru</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pages</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statistika</w:t>
      </w:r>
      <w:r w:rsidR="00FF1376" w:rsidRPr="00FF1376">
        <w:rPr>
          <w:rFonts w:ascii="Times New Roman" w:eastAsia="Calibri" w:hAnsi="Times New Roman" w:cs="Times New Roman"/>
          <w:sz w:val="24"/>
          <w:szCs w:val="24"/>
        </w:rPr>
        <w:t>-</w:t>
      </w:r>
      <w:r w:rsidR="00FF1376" w:rsidRPr="00FF1376">
        <w:rPr>
          <w:rFonts w:ascii="Times New Roman" w:eastAsia="Calibri" w:hAnsi="Times New Roman" w:cs="Times New Roman"/>
          <w:sz w:val="24"/>
          <w:szCs w:val="24"/>
          <w:lang w:val="en-US"/>
        </w:rPr>
        <w:t>otrasli</w:t>
      </w:r>
      <w:r w:rsidR="00FF1376" w:rsidRPr="00FF1376">
        <w:rPr>
          <w:rFonts w:ascii="Times New Roman" w:eastAsia="Calibri" w:hAnsi="Times New Roman" w:cs="Times New Roman"/>
          <w:sz w:val="24"/>
          <w:szCs w:val="24"/>
        </w:rPr>
        <w:t>/ (дата обращения 06.11.2020).</w:t>
      </w:r>
    </w:p>
    <w:p w14:paraId="4AA77C4B" w14:textId="2229B34E" w:rsidR="0084541E" w:rsidRPr="0084541E"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4541E">
        <w:rPr>
          <w:rFonts w:ascii="Times New Roman" w:eastAsia="Times New Roman" w:hAnsi="Times New Roman" w:cs="Times New Roman"/>
          <w:sz w:val="24"/>
          <w:szCs w:val="24"/>
          <w:lang w:eastAsia="ru-RU"/>
        </w:rPr>
        <w:t>.</w:t>
      </w:r>
      <w:r w:rsidR="00A6010B">
        <w:rPr>
          <w:rFonts w:ascii="Times New Roman" w:eastAsia="Times New Roman" w:hAnsi="Times New Roman" w:cs="Times New Roman"/>
          <w:sz w:val="24"/>
          <w:szCs w:val="24"/>
          <w:lang w:eastAsia="ru-RU"/>
        </w:rPr>
        <w:t> </w:t>
      </w:r>
      <w:r w:rsidRPr="0084541E">
        <w:rPr>
          <w:rFonts w:ascii="Times New Roman" w:eastAsia="Times New Roman" w:hAnsi="Times New Roman" w:cs="Times New Roman"/>
          <w:sz w:val="24"/>
          <w:szCs w:val="24"/>
          <w:lang w:eastAsia="ru-RU"/>
        </w:rPr>
        <w:t>Слюсар В. Цифровые антенные решетки в мобильной спутниковой связи //</w:t>
      </w:r>
      <w:r w:rsidR="00A6010B">
        <w:rPr>
          <w:rFonts w:ascii="Times New Roman" w:eastAsia="Times New Roman" w:hAnsi="Times New Roman" w:cs="Times New Roman"/>
          <w:sz w:val="24"/>
          <w:szCs w:val="24"/>
          <w:lang w:eastAsia="ru-RU"/>
        </w:rPr>
        <w:t xml:space="preserve"> </w:t>
      </w:r>
      <w:r w:rsidRPr="0084541E">
        <w:rPr>
          <w:rFonts w:ascii="Times New Roman" w:eastAsia="Times New Roman" w:hAnsi="Times New Roman" w:cs="Times New Roman"/>
          <w:sz w:val="24"/>
          <w:szCs w:val="24"/>
          <w:lang w:eastAsia="ru-RU"/>
        </w:rPr>
        <w:t>Первая миля. 2008. Т. 7. № 4. С. 10-15.</w:t>
      </w:r>
    </w:p>
    <w:p w14:paraId="16582E41" w14:textId="71D973BA" w:rsidR="0084541E" w:rsidRPr="00B8069B" w:rsidRDefault="0084541E" w:rsidP="003502C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4541E">
        <w:rPr>
          <w:rFonts w:ascii="Times New Roman" w:eastAsia="Times New Roman" w:hAnsi="Times New Roman" w:cs="Times New Roman"/>
          <w:sz w:val="24"/>
          <w:szCs w:val="24"/>
          <w:lang w:eastAsia="ru-RU"/>
        </w:rPr>
        <w:t>.</w:t>
      </w:r>
      <w:r w:rsidR="00A6010B">
        <w:rPr>
          <w:rFonts w:ascii="Times New Roman" w:eastAsia="Times New Roman" w:hAnsi="Times New Roman" w:cs="Times New Roman"/>
          <w:sz w:val="24"/>
          <w:szCs w:val="24"/>
          <w:lang w:eastAsia="ru-RU"/>
        </w:rPr>
        <w:t> </w:t>
      </w:r>
      <w:r w:rsidRPr="0084541E">
        <w:rPr>
          <w:rFonts w:ascii="Times New Roman" w:eastAsia="Times New Roman" w:hAnsi="Times New Roman" w:cs="Times New Roman"/>
          <w:sz w:val="24"/>
          <w:szCs w:val="24"/>
          <w:lang w:eastAsia="ru-RU"/>
        </w:rPr>
        <w:t>Соломаха Г.</w:t>
      </w:r>
      <w:r w:rsidR="00A6010B">
        <w:rPr>
          <w:rFonts w:ascii="Times New Roman" w:eastAsia="Times New Roman" w:hAnsi="Times New Roman" w:cs="Times New Roman"/>
          <w:sz w:val="24"/>
          <w:szCs w:val="24"/>
          <w:lang w:eastAsia="ru-RU"/>
        </w:rPr>
        <w:t xml:space="preserve"> </w:t>
      </w:r>
      <w:r w:rsidRPr="0084541E">
        <w:rPr>
          <w:rFonts w:ascii="Times New Roman" w:eastAsia="Times New Roman" w:hAnsi="Times New Roman" w:cs="Times New Roman"/>
          <w:sz w:val="24"/>
          <w:szCs w:val="24"/>
          <w:lang w:eastAsia="ru-RU"/>
        </w:rPr>
        <w:t>А., Сочава А.</w:t>
      </w:r>
      <w:r w:rsidR="00A6010B">
        <w:rPr>
          <w:rFonts w:ascii="Times New Roman" w:eastAsia="Times New Roman" w:hAnsi="Times New Roman" w:cs="Times New Roman"/>
          <w:sz w:val="24"/>
          <w:szCs w:val="24"/>
          <w:lang w:eastAsia="ru-RU"/>
        </w:rPr>
        <w:t xml:space="preserve"> </w:t>
      </w:r>
      <w:r w:rsidRPr="0084541E">
        <w:rPr>
          <w:rFonts w:ascii="Times New Roman" w:eastAsia="Times New Roman" w:hAnsi="Times New Roman" w:cs="Times New Roman"/>
          <w:sz w:val="24"/>
          <w:szCs w:val="24"/>
          <w:lang w:eastAsia="ru-RU"/>
        </w:rPr>
        <w:t xml:space="preserve">А. Волноводно-щелевые решетки с электронным управлением лучом // Научный форум с международным участием </w:t>
      </w:r>
      <w:r w:rsidR="00A6010B">
        <w:rPr>
          <w:rFonts w:ascii="Times New Roman" w:eastAsia="Times New Roman" w:hAnsi="Times New Roman" w:cs="Times New Roman"/>
          <w:sz w:val="24"/>
          <w:szCs w:val="24"/>
          <w:lang w:eastAsia="ru-RU"/>
        </w:rPr>
        <w:t>«</w:t>
      </w:r>
      <w:r w:rsidRPr="0084541E">
        <w:rPr>
          <w:rFonts w:ascii="Times New Roman" w:eastAsia="Times New Roman" w:hAnsi="Times New Roman" w:cs="Times New Roman"/>
          <w:sz w:val="24"/>
          <w:szCs w:val="24"/>
          <w:lang w:eastAsia="ru-RU"/>
        </w:rPr>
        <w:t>Неделя науки СПбПУ</w:t>
      </w:r>
      <w:r w:rsidR="00A6010B">
        <w:rPr>
          <w:rFonts w:ascii="Times New Roman" w:eastAsia="Times New Roman" w:hAnsi="Times New Roman" w:cs="Times New Roman"/>
          <w:sz w:val="24"/>
          <w:szCs w:val="24"/>
          <w:lang w:eastAsia="ru-RU"/>
        </w:rPr>
        <w:t>»</w:t>
      </w:r>
      <w:r w:rsidRPr="0084541E">
        <w:rPr>
          <w:rFonts w:ascii="Times New Roman" w:eastAsia="Times New Roman" w:hAnsi="Times New Roman" w:cs="Times New Roman"/>
          <w:sz w:val="24"/>
          <w:szCs w:val="24"/>
          <w:lang w:eastAsia="ru-RU"/>
        </w:rPr>
        <w:t xml:space="preserve">. </w:t>
      </w:r>
      <w:r w:rsidRPr="00B8069B">
        <w:rPr>
          <w:rFonts w:ascii="Times New Roman" w:eastAsia="Times New Roman" w:hAnsi="Times New Roman" w:cs="Times New Roman"/>
          <w:sz w:val="24"/>
          <w:szCs w:val="24"/>
          <w:lang w:eastAsia="ru-RU"/>
        </w:rPr>
        <w:t>2014</w:t>
      </w:r>
      <w:r w:rsidR="00A6010B">
        <w:rPr>
          <w:rFonts w:ascii="Times New Roman" w:eastAsia="Times New Roman" w:hAnsi="Times New Roman" w:cs="Times New Roman"/>
          <w:sz w:val="24"/>
          <w:szCs w:val="24"/>
          <w:lang w:eastAsia="ru-RU"/>
        </w:rPr>
        <w:t>.</w:t>
      </w:r>
      <w:r w:rsidRPr="00B8069B">
        <w:rPr>
          <w:rFonts w:ascii="Times New Roman" w:eastAsia="Times New Roman" w:hAnsi="Times New Roman" w:cs="Times New Roman"/>
          <w:sz w:val="24"/>
          <w:szCs w:val="24"/>
          <w:lang w:eastAsia="ru-RU"/>
        </w:rPr>
        <w:t xml:space="preserve"> </w:t>
      </w:r>
      <w:r w:rsidR="00A6010B">
        <w:rPr>
          <w:rFonts w:ascii="Times New Roman" w:eastAsia="Times New Roman" w:hAnsi="Times New Roman" w:cs="Times New Roman"/>
          <w:sz w:val="24"/>
          <w:szCs w:val="24"/>
          <w:lang w:eastAsia="ru-RU"/>
        </w:rPr>
        <w:t>С.</w:t>
      </w:r>
      <w:r w:rsidRPr="00B8069B">
        <w:rPr>
          <w:rFonts w:ascii="Times New Roman" w:eastAsia="Times New Roman" w:hAnsi="Times New Roman" w:cs="Times New Roman"/>
          <w:sz w:val="24"/>
          <w:szCs w:val="24"/>
          <w:lang w:eastAsia="ru-RU"/>
        </w:rPr>
        <w:t xml:space="preserve"> 25-27.</w:t>
      </w:r>
    </w:p>
    <w:p w14:paraId="4FF32165" w14:textId="77777777" w:rsidR="00B172AC" w:rsidRPr="00B8069B" w:rsidRDefault="00B172AC" w:rsidP="00B172AC">
      <w:pPr>
        <w:spacing w:after="0" w:line="240" w:lineRule="auto"/>
        <w:ind w:firstLine="567"/>
        <w:contextualSpacing/>
        <w:rPr>
          <w:rFonts w:ascii="Times New Roman" w:eastAsia="Calibri" w:hAnsi="Times New Roman" w:cs="Times New Roman"/>
          <w:bCs/>
          <w:sz w:val="24"/>
          <w:szCs w:val="28"/>
        </w:rPr>
      </w:pPr>
      <w:r w:rsidRPr="00B8069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B8069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B8069B">
        <w:rPr>
          <w:rFonts w:ascii="Times New Roman" w:eastAsia="Calibri" w:hAnsi="Times New Roman" w:cs="Times New Roman"/>
          <w:bCs/>
          <w:sz w:val="24"/>
          <w:szCs w:val="28"/>
        </w:rPr>
        <w:t>)</w:t>
      </w:r>
    </w:p>
    <w:p w14:paraId="5931896E"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bookmarkStart w:id="1" w:name="_Hlk213680239"/>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bookmarkEnd w:id="1"/>
    <w:p w14:paraId="5C722C68" w14:textId="490E1AD2" w:rsidR="00B172AC" w:rsidRDefault="009D641F" w:rsidP="00A6010B">
      <w:pPr>
        <w:spacing w:after="0" w:line="240" w:lineRule="auto"/>
        <w:ind w:left="567"/>
        <w:jc w:val="center"/>
        <w:rPr>
          <w:rFonts w:ascii="Times New Roman" w:hAnsi="Times New Roman" w:cs="Times New Roman"/>
          <w:b/>
          <w:bCs/>
          <w:iCs/>
          <w:caps/>
          <w:sz w:val="24"/>
          <w:szCs w:val="24"/>
        </w:rPr>
      </w:pPr>
      <w:r w:rsidRPr="00A6010B">
        <w:rPr>
          <w:rFonts w:ascii="Times New Roman" w:hAnsi="Times New Roman" w:cs="Times New Roman"/>
          <w:b/>
          <w:bCs/>
          <w:iCs/>
          <w:caps/>
          <w:sz w:val="24"/>
          <w:szCs w:val="24"/>
          <w:lang w:val="en-US"/>
        </w:rPr>
        <w:t>IPTV Service Delivery Models</w:t>
      </w:r>
    </w:p>
    <w:p w14:paraId="50B2C680" w14:textId="77777777" w:rsidR="00A6010B" w:rsidRPr="00A6010B" w:rsidRDefault="00A6010B" w:rsidP="00A6010B">
      <w:pPr>
        <w:spacing w:after="0" w:line="240" w:lineRule="auto"/>
        <w:ind w:firstLine="567"/>
        <w:contextualSpacing/>
        <w:rPr>
          <w:rFonts w:ascii="Times New Roman" w:eastAsia="Calibri" w:hAnsi="Times New Roman" w:cs="Times New Roman"/>
          <w:bCs/>
          <w:sz w:val="24"/>
          <w:szCs w:val="28"/>
        </w:rPr>
      </w:pPr>
      <w:r w:rsidRPr="00A6010B">
        <w:rPr>
          <w:rFonts w:ascii="Times New Roman" w:eastAsia="Calibri" w:hAnsi="Times New Roman" w:cs="Times New Roman"/>
          <w:bCs/>
          <w:sz w:val="24"/>
          <w:szCs w:val="28"/>
        </w:rPr>
        <w:t>(</w:t>
      </w:r>
      <w:r w:rsidRPr="00FF1376">
        <w:rPr>
          <w:rFonts w:ascii="Times New Roman" w:eastAsia="Calibri" w:hAnsi="Times New Roman" w:cs="Times New Roman"/>
          <w:bCs/>
          <w:sz w:val="24"/>
          <w:szCs w:val="28"/>
        </w:rPr>
        <w:t>пустая</w:t>
      </w:r>
      <w:r w:rsidRPr="00A6010B">
        <w:rPr>
          <w:rFonts w:ascii="Times New Roman" w:eastAsia="Calibri" w:hAnsi="Times New Roman" w:cs="Times New Roman"/>
          <w:bCs/>
          <w:sz w:val="24"/>
          <w:szCs w:val="28"/>
        </w:rPr>
        <w:t xml:space="preserve"> </w:t>
      </w:r>
      <w:r w:rsidRPr="00FF1376">
        <w:rPr>
          <w:rFonts w:ascii="Times New Roman" w:eastAsia="Calibri" w:hAnsi="Times New Roman" w:cs="Times New Roman"/>
          <w:bCs/>
          <w:sz w:val="24"/>
          <w:szCs w:val="28"/>
        </w:rPr>
        <w:t>строка</w:t>
      </w:r>
      <w:r w:rsidRPr="00A6010B">
        <w:rPr>
          <w:rFonts w:ascii="Times New Roman" w:eastAsia="Calibri" w:hAnsi="Times New Roman" w:cs="Times New Roman"/>
          <w:bCs/>
          <w:sz w:val="24"/>
          <w:szCs w:val="28"/>
        </w:rPr>
        <w:t>)</w:t>
      </w:r>
    </w:p>
    <w:p w14:paraId="484BD147" w14:textId="77777777" w:rsidR="00A6010B" w:rsidRPr="00A6010B" w:rsidRDefault="00A6010B" w:rsidP="00A6010B">
      <w:pPr>
        <w:spacing w:after="0" w:line="240" w:lineRule="auto"/>
        <w:jc w:val="both"/>
        <w:rPr>
          <w:rFonts w:ascii="Times New Roman" w:hAnsi="Times New Roman" w:cs="Times New Roman"/>
          <w:iCs/>
          <w:sz w:val="24"/>
          <w:szCs w:val="24"/>
        </w:rPr>
      </w:pPr>
      <w:r w:rsidRPr="00A6010B">
        <w:rPr>
          <w:rFonts w:ascii="Times New Roman" w:hAnsi="Times New Roman" w:cs="Times New Roman"/>
          <w:b/>
          <w:iCs/>
          <w:sz w:val="24"/>
          <w:szCs w:val="24"/>
          <w:lang w:val="en-US"/>
        </w:rPr>
        <w:t>Borodinsky</w:t>
      </w:r>
      <w:r w:rsidRPr="00A6010B">
        <w:rPr>
          <w:rFonts w:ascii="Times New Roman" w:hAnsi="Times New Roman" w:cs="Times New Roman"/>
          <w:b/>
          <w:iCs/>
          <w:sz w:val="24"/>
          <w:szCs w:val="24"/>
        </w:rPr>
        <w:t xml:space="preserve"> </w:t>
      </w:r>
      <w:r w:rsidRPr="00A6010B">
        <w:rPr>
          <w:rFonts w:ascii="Times New Roman" w:hAnsi="Times New Roman" w:cs="Times New Roman"/>
          <w:b/>
          <w:iCs/>
          <w:sz w:val="24"/>
          <w:szCs w:val="24"/>
          <w:lang w:val="en-US"/>
        </w:rPr>
        <w:t>A</w:t>
      </w:r>
      <w:r w:rsidRPr="00A6010B">
        <w:rPr>
          <w:rFonts w:ascii="Times New Roman" w:hAnsi="Times New Roman" w:cs="Times New Roman"/>
          <w:b/>
          <w:iCs/>
          <w:sz w:val="24"/>
          <w:szCs w:val="24"/>
        </w:rPr>
        <w:t xml:space="preserve">., </w:t>
      </w:r>
      <w:r w:rsidRPr="00A6010B">
        <w:rPr>
          <w:rFonts w:ascii="Times New Roman" w:hAnsi="Times New Roman" w:cs="Times New Roman"/>
          <w:b/>
          <w:iCs/>
          <w:sz w:val="24"/>
          <w:szCs w:val="24"/>
          <w:lang w:val="en-US"/>
        </w:rPr>
        <w:t>Petrov</w:t>
      </w:r>
      <w:r w:rsidRPr="00A6010B">
        <w:rPr>
          <w:rFonts w:ascii="Times New Roman" w:hAnsi="Times New Roman" w:cs="Times New Roman"/>
          <w:b/>
          <w:iCs/>
          <w:sz w:val="24"/>
          <w:szCs w:val="24"/>
        </w:rPr>
        <w:t xml:space="preserve"> </w:t>
      </w:r>
      <w:r w:rsidRPr="00A6010B">
        <w:rPr>
          <w:rFonts w:ascii="Times New Roman" w:hAnsi="Times New Roman" w:cs="Times New Roman"/>
          <w:b/>
          <w:iCs/>
          <w:sz w:val="24"/>
          <w:szCs w:val="24"/>
          <w:lang w:val="en-US"/>
        </w:rPr>
        <w:t>V</w:t>
      </w:r>
      <w:r w:rsidRPr="00A6010B">
        <w:rPr>
          <w:rFonts w:ascii="Times New Roman" w:hAnsi="Times New Roman" w:cs="Times New Roman"/>
          <w:b/>
          <w:iCs/>
          <w:sz w:val="24"/>
          <w:szCs w:val="24"/>
        </w:rPr>
        <w:t>.</w:t>
      </w:r>
      <w:r w:rsidRPr="00A6010B">
        <w:rPr>
          <w:rFonts w:ascii="Times New Roman" w:hAnsi="Times New Roman" w:cs="Times New Roman"/>
          <w:iCs/>
          <w:sz w:val="24"/>
          <w:szCs w:val="24"/>
        </w:rPr>
        <w:t xml:space="preserve"> </w:t>
      </w:r>
    </w:p>
    <w:p w14:paraId="1CAD87E7" w14:textId="3BF0130D" w:rsidR="00A6010B" w:rsidRPr="00A6010B" w:rsidRDefault="00A6010B" w:rsidP="00A6010B">
      <w:pPr>
        <w:spacing w:after="0" w:line="240" w:lineRule="auto"/>
        <w:jc w:val="both"/>
        <w:rPr>
          <w:rFonts w:ascii="Times New Roman" w:hAnsi="Times New Roman" w:cs="Times New Roman"/>
          <w:iCs/>
          <w:sz w:val="24"/>
          <w:szCs w:val="24"/>
          <w:lang w:val="en-US"/>
        </w:rPr>
      </w:pPr>
      <w:r w:rsidRPr="00A6010B">
        <w:rPr>
          <w:rFonts w:ascii="Times New Roman" w:hAnsi="Times New Roman" w:cs="Times New Roman"/>
          <w:iCs/>
          <w:sz w:val="24"/>
          <w:szCs w:val="24"/>
          <w:lang w:val="en-US"/>
        </w:rPr>
        <w:t>The Bonch-Bruevich Saint-Petersburg State University of Telecommunication</w:t>
      </w:r>
    </w:p>
    <w:p w14:paraId="41D4D514" w14:textId="77777777" w:rsidR="00A6010B" w:rsidRPr="009D641F" w:rsidRDefault="00A6010B" w:rsidP="00A6010B">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231E7DC1" w14:textId="77777777" w:rsidR="00B172AC" w:rsidRDefault="00B172AC" w:rsidP="00A6010B">
      <w:pPr>
        <w:spacing w:after="0" w:line="240" w:lineRule="auto"/>
        <w:ind w:firstLine="567"/>
        <w:jc w:val="both"/>
        <w:rPr>
          <w:rFonts w:ascii="Times New Roman" w:hAnsi="Times New Roman" w:cs="Times New Roman"/>
          <w:i/>
          <w:sz w:val="24"/>
          <w:szCs w:val="24"/>
          <w:lang w:val="en-US"/>
        </w:rPr>
      </w:pPr>
      <w:r w:rsidRPr="00F42FC7">
        <w:rPr>
          <w:rFonts w:ascii="Times New Roman" w:hAnsi="Times New Roman" w:cs="Times New Roman"/>
          <w:i/>
          <w:sz w:val="24"/>
          <w:szCs w:val="24"/>
          <w:lang w:val="en-US"/>
        </w:rPr>
        <w:t xml:space="preserve">Caching segment lasting a few minutes each TV program in the provision of services "Television, shifted in time" make it possible to meet a large part of the demand from customers, which makes it advisable to use the distributed proxy servers with limited resource capacity. Analytical model of service determines the ratio of requests processed by the server cache to the total number of requests. </w:t>
      </w:r>
    </w:p>
    <w:p w14:paraId="63CB2523" w14:textId="77777777" w:rsidR="009D641F" w:rsidRPr="009D641F" w:rsidRDefault="009D641F" w:rsidP="009D641F">
      <w:pPr>
        <w:spacing w:after="0" w:line="240" w:lineRule="auto"/>
        <w:ind w:firstLine="567"/>
        <w:contextualSpacing/>
        <w:rPr>
          <w:rFonts w:ascii="Times New Roman" w:eastAsia="Calibri" w:hAnsi="Times New Roman" w:cs="Times New Roman"/>
          <w:bCs/>
          <w:sz w:val="24"/>
          <w:szCs w:val="28"/>
          <w:lang w:val="en-US"/>
        </w:rPr>
      </w:pPr>
      <w:r w:rsidRPr="009D641F">
        <w:rPr>
          <w:rFonts w:ascii="Times New Roman" w:eastAsia="Calibri" w:hAnsi="Times New Roman" w:cs="Times New Roman"/>
          <w:bCs/>
          <w:sz w:val="24"/>
          <w:szCs w:val="28"/>
          <w:lang w:val="en-US"/>
        </w:rPr>
        <w:t>(</w:t>
      </w:r>
      <w:r w:rsidRPr="00FF1376">
        <w:rPr>
          <w:rFonts w:ascii="Times New Roman" w:eastAsia="Calibri" w:hAnsi="Times New Roman" w:cs="Times New Roman"/>
          <w:bCs/>
          <w:sz w:val="24"/>
          <w:szCs w:val="28"/>
        </w:rPr>
        <w:t>пустая</w:t>
      </w:r>
      <w:r w:rsidRPr="009D641F">
        <w:rPr>
          <w:rFonts w:ascii="Times New Roman" w:eastAsia="Calibri" w:hAnsi="Times New Roman" w:cs="Times New Roman"/>
          <w:bCs/>
          <w:sz w:val="24"/>
          <w:szCs w:val="28"/>
          <w:lang w:val="en-US"/>
        </w:rPr>
        <w:t xml:space="preserve"> </w:t>
      </w:r>
      <w:r w:rsidRPr="00FF1376">
        <w:rPr>
          <w:rFonts w:ascii="Times New Roman" w:eastAsia="Calibri" w:hAnsi="Times New Roman" w:cs="Times New Roman"/>
          <w:bCs/>
          <w:sz w:val="24"/>
          <w:szCs w:val="28"/>
        </w:rPr>
        <w:t>строка</w:t>
      </w:r>
      <w:r w:rsidRPr="009D641F">
        <w:rPr>
          <w:rFonts w:ascii="Times New Roman" w:eastAsia="Calibri" w:hAnsi="Times New Roman" w:cs="Times New Roman"/>
          <w:bCs/>
          <w:sz w:val="24"/>
          <w:szCs w:val="28"/>
          <w:lang w:val="en-US"/>
        </w:rPr>
        <w:t>)</w:t>
      </w:r>
    </w:p>
    <w:p w14:paraId="3E10B616" w14:textId="279DF85D" w:rsidR="00CD57ED" w:rsidRPr="00A6010B" w:rsidRDefault="00B172AC" w:rsidP="006E24A8">
      <w:pPr>
        <w:spacing w:after="0" w:line="240" w:lineRule="auto"/>
        <w:jc w:val="both"/>
        <w:rPr>
          <w:rFonts w:ascii="Times New Roman" w:hAnsi="Times New Roman" w:cs="Times New Roman"/>
          <w:b/>
          <w:i/>
          <w:sz w:val="28"/>
          <w:szCs w:val="24"/>
          <w:u w:val="single"/>
        </w:rPr>
      </w:pPr>
      <w:r w:rsidRPr="00404CC1">
        <w:rPr>
          <w:rFonts w:ascii="Times New Roman" w:hAnsi="Times New Roman" w:cs="Times New Roman"/>
          <w:b/>
          <w:i/>
          <w:sz w:val="24"/>
          <w:szCs w:val="24"/>
          <w:lang w:val="en-US"/>
        </w:rPr>
        <w:t xml:space="preserve">Key words: </w:t>
      </w:r>
      <w:r w:rsidRPr="00A6010B">
        <w:rPr>
          <w:rFonts w:ascii="Times New Roman" w:hAnsi="Times New Roman" w:cs="Times New Roman"/>
          <w:bCs/>
          <w:i/>
          <w:sz w:val="24"/>
          <w:szCs w:val="24"/>
          <w:lang w:val="en-US"/>
        </w:rPr>
        <w:t>IPTV, caching, TV, time-shifted, the proxy</w:t>
      </w:r>
      <w:bookmarkEnd w:id="0"/>
    </w:p>
    <w:sectPr w:rsidR="00CD57ED" w:rsidRPr="00A6010B" w:rsidSect="006E24A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B2"/>
    <w:rsid w:val="00042396"/>
    <w:rsid w:val="00043EAE"/>
    <w:rsid w:val="000453A5"/>
    <w:rsid w:val="00091F76"/>
    <w:rsid w:val="000B27AF"/>
    <w:rsid w:val="00131050"/>
    <w:rsid w:val="001337BE"/>
    <w:rsid w:val="001939EF"/>
    <w:rsid w:val="001E05D2"/>
    <w:rsid w:val="002458B1"/>
    <w:rsid w:val="00245AE8"/>
    <w:rsid w:val="00257016"/>
    <w:rsid w:val="00293182"/>
    <w:rsid w:val="002B4DDC"/>
    <w:rsid w:val="002C1697"/>
    <w:rsid w:val="003502CF"/>
    <w:rsid w:val="003A57BE"/>
    <w:rsid w:val="003A7968"/>
    <w:rsid w:val="003F3BFB"/>
    <w:rsid w:val="00404CC1"/>
    <w:rsid w:val="004C063B"/>
    <w:rsid w:val="004D0DF2"/>
    <w:rsid w:val="0053591D"/>
    <w:rsid w:val="005A015C"/>
    <w:rsid w:val="005C6B06"/>
    <w:rsid w:val="005E1B18"/>
    <w:rsid w:val="006018C0"/>
    <w:rsid w:val="00674860"/>
    <w:rsid w:val="006E24A8"/>
    <w:rsid w:val="0076260D"/>
    <w:rsid w:val="007A61B2"/>
    <w:rsid w:val="007C0B19"/>
    <w:rsid w:val="007D0D22"/>
    <w:rsid w:val="00826ED6"/>
    <w:rsid w:val="0083150B"/>
    <w:rsid w:val="0084129D"/>
    <w:rsid w:val="0084541E"/>
    <w:rsid w:val="0086747F"/>
    <w:rsid w:val="008D53E8"/>
    <w:rsid w:val="008E7BAD"/>
    <w:rsid w:val="00911117"/>
    <w:rsid w:val="00940918"/>
    <w:rsid w:val="009C5E8C"/>
    <w:rsid w:val="009D641F"/>
    <w:rsid w:val="009F19DB"/>
    <w:rsid w:val="009F65F3"/>
    <w:rsid w:val="00A217EF"/>
    <w:rsid w:val="00A6010B"/>
    <w:rsid w:val="00B048F9"/>
    <w:rsid w:val="00B172AC"/>
    <w:rsid w:val="00B8069B"/>
    <w:rsid w:val="00B91544"/>
    <w:rsid w:val="00BF1412"/>
    <w:rsid w:val="00BF4068"/>
    <w:rsid w:val="00C26DCF"/>
    <w:rsid w:val="00C33376"/>
    <w:rsid w:val="00C50B9D"/>
    <w:rsid w:val="00CD57ED"/>
    <w:rsid w:val="00CE6CFB"/>
    <w:rsid w:val="00D15FF3"/>
    <w:rsid w:val="00D5673E"/>
    <w:rsid w:val="00D80240"/>
    <w:rsid w:val="00D84019"/>
    <w:rsid w:val="00DE7AF2"/>
    <w:rsid w:val="00DF3FB5"/>
    <w:rsid w:val="00E91F22"/>
    <w:rsid w:val="00ED0E6A"/>
    <w:rsid w:val="00EF10D0"/>
    <w:rsid w:val="00F37951"/>
    <w:rsid w:val="00F42FC7"/>
    <w:rsid w:val="00F550F5"/>
    <w:rsid w:val="00FF1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A2CE"/>
  <w15:docId w15:val="{41441D8F-8918-4A53-90DA-8B62A5DF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9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260D"/>
    <w:rPr>
      <w:color w:val="0000FF" w:themeColor="hyperlink"/>
      <w:u w:val="single"/>
    </w:rPr>
  </w:style>
  <w:style w:type="paragraph" w:styleId="a4">
    <w:name w:val="Balloon Text"/>
    <w:basedOn w:val="a"/>
    <w:link w:val="a5"/>
    <w:uiPriority w:val="99"/>
    <w:semiHidden/>
    <w:unhideWhenUsed/>
    <w:rsid w:val="00FF13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1376"/>
    <w:rPr>
      <w:rFonts w:ascii="Tahoma" w:hAnsi="Tahoma" w:cs="Tahoma"/>
      <w:sz w:val="16"/>
      <w:szCs w:val="16"/>
    </w:rPr>
  </w:style>
  <w:style w:type="table" w:customStyle="1" w:styleId="3">
    <w:name w:val="Сетка таблицы3"/>
    <w:basedOn w:val="a1"/>
    <w:next w:val="a6"/>
    <w:uiPriority w:val="39"/>
    <w:rsid w:val="00FF13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FF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31050"/>
    <w:pPr>
      <w:ind w:left="720"/>
      <w:contextualSpacing/>
    </w:pPr>
  </w:style>
  <w:style w:type="character" w:customStyle="1" w:styleId="1">
    <w:name w:val="Неразрешенное упоминание1"/>
    <w:basedOn w:val="a0"/>
    <w:uiPriority w:val="99"/>
    <w:semiHidden/>
    <w:unhideWhenUsed/>
    <w:rsid w:val="00C33376"/>
    <w:rPr>
      <w:color w:val="605E5C"/>
      <w:shd w:val="clear" w:color="auto" w:fill="E1DFDD"/>
    </w:rPr>
  </w:style>
  <w:style w:type="character" w:customStyle="1" w:styleId="2">
    <w:name w:val="Неразрешенное упоминание2"/>
    <w:basedOn w:val="a0"/>
    <w:uiPriority w:val="99"/>
    <w:semiHidden/>
    <w:unhideWhenUsed/>
    <w:rsid w:val="0053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Мария</cp:lastModifiedBy>
  <cp:revision>12</cp:revision>
  <dcterms:created xsi:type="dcterms:W3CDTF">2025-09-10T07:50:00Z</dcterms:created>
  <dcterms:modified xsi:type="dcterms:W3CDTF">2025-11-10T13:01:00Z</dcterms:modified>
</cp:coreProperties>
</file>